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r>
      <w:r>
        <w:rPr>
          <w:rFonts w:ascii="PT Astra Serif" w:hAnsi="PT Astra Serif" w:eastAsia="Times New Roman"/>
          <w:b/>
          <w:bCs/>
          <w:sz w:val="28"/>
          <w:szCs w:val="28"/>
          <w:lang w:eastAsia="ru-RU"/>
        </w:rPr>
        <w:t xml:space="preserve">О механизмах привлечения грантовых средств для развития инновационной деятельности в Удмуртской Республике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Основным источником грантовых средств для инновационных компаний УР являются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федеральные фонды поддержки.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pStyle w:val="921"/>
        <w:numPr>
          <w:ilvl w:val="0"/>
          <w:numId w:val="26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Фонд содействия инновациям (ФСИ)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14:ligatures w14:val="none"/>
        </w:rPr>
      </w:r>
    </w:p>
    <w:p>
      <w:pPr>
        <w:pStyle w:val="921"/>
        <w:numPr>
          <w:ilvl w:val="1"/>
          <w:numId w:val="2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цель: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оддержка малых инновационных предприятий, стимулирование научных исследований и разработок;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1"/>
          <w:numId w:val="27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highlight w:val="none"/>
        </w:rPr>
        <w:t xml:space="preserve">программы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 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«Студенческий стартап» и «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УМНИК» для молодых исследователей,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«СТАРТ» для поддержки начинающих инновационных компаний, «Развитие» и «Коммерциализация» для молодых действующих инновационных компаний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pStyle w:val="921"/>
        <w:numPr>
          <w:ilvl w:val="0"/>
          <w:numId w:val="26"/>
        </w:numPr>
        <w:contextualSpacing w:val="0"/>
        <w:jc w:val="both"/>
        <w:spacing w:before="170" w:after="160" w:line="259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Российский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фонд раз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вития информационных технологий (РФРИТ)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цель: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поддержка проектов в области информационных технологий, развитие цифровой экономики.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основные программы: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гранты на разработку программного обеспечения, поддержку ИТ-проектов в сфере образования, здравоохранения и других.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0"/>
          <w:numId w:val="26"/>
        </w:numPr>
        <w:contextualSpacing w:val="0"/>
        <w:jc w:val="both"/>
        <w:spacing w:before="170" w:after="160" w:line="259" w:lineRule="auto"/>
        <w:rPr>
          <w:rFonts w:ascii="Times New Roman" w:hAnsi="Times New Roman" w:cs="Times New Roman"/>
          <w:color w:val="0d0d0d" w:themeColor="text1" w:themeTint="F2"/>
          <w:szCs w:val="24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Фонд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развития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интернет-инициатив (ФРИИ)</w:t>
      </w:r>
      <w:r>
        <w:rPr>
          <w:rFonts w:ascii="Times New Roman" w:hAnsi="Times New Roman" w:cs="Times New Roman"/>
          <w:color w:val="0d0d0d" w:themeColor="text1" w:themeTint="F2"/>
          <w:szCs w:val="24"/>
          <w:u w:val="singl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:u w:val="single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цель: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поддержка стартапов в области интернет-технологий, развитие предпринимательства.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основные программы: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акселерационные программы, инвестиции в интернет-стартапы на разных стадиях развития.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0"/>
          <w:numId w:val="26"/>
        </w:numPr>
        <w:contextualSpacing w:val="0"/>
        <w:jc w:val="both"/>
        <w:spacing w:before="170" w:after="160" w:line="259" w:lineRule="auto"/>
        <w:rPr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Фонд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Сколково </w:t>
      </w:r>
      <w:r>
        <w:rPr>
          <w:u w:val="single"/>
        </w:rPr>
      </w:r>
      <w:r>
        <w:rPr>
          <w:u w:val="singl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создание инновационной экосистемы в России, поддержка высокотехнологичных проектов.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основные программы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гранты для резидентов Сколково, поддержка исследований в области энергетики, биомедицины, ИТ и других.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Наиболее интересным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инновационных компаний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в плане привлечения грантовых средств является ФСИ.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В настоящее время объявлен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отбор заявок по 5 конкурсам с размером грантов от 1 до 30 млн руб 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сроком приема заявок конец мая - середина июня,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в зависимости от вида конкурса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🎓 «Студенческий стартап» – 1 млн руб на инновационную идею (для студентов и аспирантов), срок приема заявок до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02 июня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📈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«Старт-Медизделия» – создание новых медицинских изделий в различных сферах, грант до 5 млн руб, срок приема заявок до  02 июня 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🚀 «Старт-1» – поддержка малых компаний, разрабатывающих инновационную продукцию, грант до 5 млн руб, срок приема заявок 16 июня </w:t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Cs w:val="24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💻 «Развитие-ЦТ»– для предприятий с опытом продаж наукоёмкой продукции на базе цифровых технологий, грант до 30 млн руб, срок приема заявок до</w:t>
        <w:br/>
        <w:t xml:space="preserve">  9 июня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pStyle w:val="921"/>
        <w:numPr>
          <w:ilvl w:val="1"/>
          <w:numId w:val="28"/>
        </w:numPr>
        <w:jc w:val="both"/>
        <w:rPr>
          <w:rFonts w:ascii="Times New Roman" w:hAnsi="Times New Roman" w:cs="Times New Roman"/>
          <w:color w:val="0d0d0d" w:themeColor="text1" w:themeTint="F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⚙ «Развитие-Станкостроение» – для прорывных решений в области станкостроения и промышленных технологий, грант до 30 млн руб, срок приема заявок до 02 июня </w:t>
      </w:r>
      <w:r>
        <w:rPr>
          <w:rFonts w:ascii="Times New Roman" w:hAnsi="Times New Roman" w:cs="Times New Roman"/>
          <w:color w:val="0d0d0d" w:themeColor="text1" w:themeTint="F2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Cs w:val="24"/>
          <w:highlight w:val="none"/>
          <w14:ligatures w14:val="none"/>
        </w:rPr>
        <w:t xml:space="preserve">По программе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«Бизнес-Старт» – поддержка начинающих предпринимателей в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коммерциализации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инноваций, грант до 18 млн руб, прием заявок завершен 26 мая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УМНИК -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поддержка молодых исследователей, грант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500 тыс руб, плановый срок приема заявок со 2 июня до 21 июля.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Обращаем внимание, что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21 марта от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Удмуртии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подана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заявка на конкурс ФСИ по отбору площадок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право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отборов по конкурсу «УМНИК»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Подведение итогов по отбору площадок планируется до конца мая.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Всего за период 2022-2024 г.г. на получение грантов ФСИ подано 735 заявок, из них одобрено 122, получено более 600 млн руб.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Результаты в динамике по годам представлены на диаграмме.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40" w:line="259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 РФРИТ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 нет открытых конкурсов на 2025 год.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85" w:line="259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 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риод 2019-2025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гг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получили: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</w:p>
    <w:p>
      <w:pPr>
        <w:pStyle w:val="921"/>
        <w:numPr>
          <w:ilvl w:val="0"/>
          <w:numId w:val="34"/>
        </w:numPr>
        <w:contextualSpacing/>
        <w:jc w:val="both"/>
        <w:spacing w:before="0" w:after="0" w:line="259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гранты на разработку и внедрение отечественных ИТ-решений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получили 10 комп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аний Удмуртской Рес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публики на общую сумму 2,1 млрд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</w:p>
    <w:p>
      <w:pPr>
        <w:contextualSpacing w:val="0"/>
        <w:ind w:firstLine="567"/>
        <w:jc w:val="both"/>
        <w:spacing w:before="0" w:after="0" w:line="259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Из них 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П 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1 место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АО «Концерн «Калашников»– 1,78 млрд руб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14:ligatures w14:val="non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2 место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ООО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«КОМОС ГРУПП»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228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млн руб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85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3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место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АО «Ижевский механический завод» – 77 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  <w:t xml:space="preserve">лн руб.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0"/>
          <w:numId w:val="34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гранты 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поддержку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интернет - маркетинга российских ИТ-компаний получили 2 компании на сумму 330 тыс руб.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ООО «Складские технологии», ООО «Просто»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0" w:after="40" w:line="259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ФРИИ предлагает возможность получить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до 35 млн руб ИТ компаниям,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успешно прошедшим отбор и обучение в акселерационной программе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:rtl w:val="0"/>
        </w:rPr>
        <w:t xml:space="preserve">Спринт 2.0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. Первый отбор заявок в этом году завершен, ведется второй отбор, срок приема заявок до 11 июня 2025г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  <w:t xml:space="preserve">З</w:t>
      </w: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  <w:t xml:space="preserve">а</w:t>
      </w: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  <w:t xml:space="preserve"> период 2021 - 2024г.г. из 28 поданных заявок победителями стали 8 компаний.</w:t>
      </w:r>
      <w:r>
        <w:rPr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Фондом Сколково предусмотрен целый комплекс мер поддержки как финансовой так и не финансовой.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В том числе резиденты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Фонд Сколково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имеют возможность в любое время подать заявку на получение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грантов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0"/>
          <w:numId w:val="3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микрогранты до 4 млн руб ежегодно на патентование, участие в выставках, проведение испытаний и и др. (только для компаний МТК);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0"/>
          <w:numId w:val="3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до 7 млн руб на пилотное внедрение продукта;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0"/>
          <w:numId w:val="3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до 20 млн руб на возмещение инвестиций бизнес-ангелу компании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numPr>
          <w:ilvl w:val="0"/>
          <w:numId w:val="3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до 20 млн руб на возмещение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инвестиций бизнес-ангелу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университетского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стартапа.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  <w:t xml:space="preserve">За 2024 год </w:t>
      </w: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  <w:t xml:space="preserve">Удмуртскими компаниями </w:t>
      </w: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highlight w:val="none"/>
        </w:rPr>
        <w:t xml:space="preserve">получено около 1,9 млн руб грантовой поддержки.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</w:rPr>
        <w:t xml:space="preserve">Результаты по привлечению грантовых средств не самые плохие, но и не впечатляющие.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:lang w:eastAsia="ru-RU"/>
        </w:rPr>
        <w:t xml:space="preserve">Республика имеет потенциал для улучшения своих позиций, н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:lang w:eastAsia="ru-RU"/>
        </w:rPr>
        <w:t xml:space="preserve">о необходимо совместно усилить работу в данном направлении.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highlight w:val="none"/>
          <w14:ligatures w14:val="none"/>
        </w:rPr>
      </w:r>
    </w:p>
    <w:p>
      <w:pPr>
        <w:pStyle w:val="921"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d0d0d" w:themeColor="text1" w:themeTint="F2"/>
          <w:sz w:val="24"/>
          <w:szCs w:val="24"/>
          <w:highlight w:val="none"/>
          <w:u w:val="singl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  <w14:ligatures w14:val="none"/>
        </w:rPr>
        <w:t xml:space="preserve">Несколько стратегий, которые могут в этом помочь:</w:t>
      </w:r>
      <w:r>
        <w:rPr>
          <w:rFonts w:ascii="Times New Roman" w:hAnsi="Times New Roman" w:eastAsia="Times New Roman" w:cs="Times New Roman"/>
          <w:b/>
          <w:bCs/>
          <w:color w:val="0d0d0d" w:themeColor="text1" w:themeTint="F2"/>
          <w:sz w:val="24"/>
          <w:szCs w:val="24"/>
          <w:highlight w:val="none"/>
          <w:u w:val="singl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d0d0d" w:themeColor="text1" w:themeTint="F2"/>
          <w:sz w:val="24"/>
          <w:szCs w:val="24"/>
          <w:highlight w:val="none"/>
          <w:u w:val="single"/>
          <w:lang w:eastAsia="ru-RU"/>
          <w14:ligatures w14:val="none"/>
        </w:rPr>
      </w:r>
    </w:p>
    <w:p>
      <w:pPr>
        <w:pStyle w:val="921"/>
        <w:ind w:left="0" w:firstLine="567"/>
        <w:jc w:val="both"/>
        <w:spacing w:after="0" w:line="240" w:lineRule="auto"/>
      </w:pPr>
      <w:r/>
      <w:r/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Образовательные программы 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по написанию грантовых заявок и разработке бизнес-планов.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14:ligatures w14:val="none"/>
        </w:rPr>
      </w:r>
    </w:p>
    <w:p>
      <w:pPr>
        <w:ind w:firstLine="567"/>
        <w:jc w:val="both"/>
        <w:spacing w:after="0" w:line="240" w:lineRule="auto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Организация семинаров, тренингов, вебинаров для студентов и молодых предпринимателей</w:t>
      </w: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 поможет повысить уровень подготовки и уверенности участников.</w:t>
      </w:r>
      <w:r>
        <w:rPr>
          <w:bCs/>
          <w:i/>
        </w:rPr>
      </w:r>
      <w:r>
        <w:rPr>
          <w:bCs/>
          <w:i/>
        </w:rPr>
      </w:r>
    </w:p>
    <w:p>
      <w:pPr>
        <w:pStyle w:val="921"/>
        <w:ind w:left="0" w:firstLine="567"/>
        <w:jc w:val="both"/>
        <w:spacing w:after="0" w:line="240" w:lineRule="auto"/>
      </w:pPr>
      <w:r/>
      <w:r/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Информационная поддержка о доступных грантах и возможностях финансирования.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Активное информирование студентов через социальные сети, университетские сайты и другие каналы. </w:t>
      </w:r>
      <w:r>
        <w:rPr>
          <w:bCs/>
          <w:i/>
        </w:rPr>
      </w:r>
      <w:r>
        <w:rPr>
          <w:bCs/>
          <w:i/>
        </w:rPr>
      </w:r>
    </w:p>
    <w:p>
      <w:pPr>
        <w:pStyle w:val="921"/>
        <w:ind w:left="0" w:firstLine="567"/>
        <w:jc w:val="both"/>
        <w:spacing w:after="0" w:line="240" w:lineRule="auto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Проведение конкурс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ов и хакатонов.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Для стимулирования инновационных идей и командной работы среди студентов.</w:t>
      </w:r>
      <w:r>
        <w:rPr>
          <w:bCs/>
          <w:i/>
        </w:rPr>
      </w:r>
      <w:r>
        <w:rPr>
          <w:bCs/>
          <w:i/>
        </w:rPr>
      </w:r>
    </w:p>
    <w:p>
      <w:pPr>
        <w:ind w:firstLine="567"/>
        <w:jc w:val="both"/>
        <w:spacing w:after="0" w:line="240" w:lineRule="auto"/>
      </w:pPr>
      <w:r/>
      <w:r/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Поддержка наставников 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Привлечение преподавателей и успешных выпускников, которые могут поделиться своим опытом и помочь студентам в разработке идей.</w:t>
      </w:r>
      <w:r/>
    </w:p>
    <w:p>
      <w:pPr>
        <w:pStyle w:val="921"/>
        <w:ind w:left="0" w:firstLine="567"/>
        <w:jc w:val="both"/>
        <w:spacing w:after="0" w:line="240" w:lineRule="auto"/>
      </w:pPr>
      <w:r/>
      <w:r/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Создание онлай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н-платформы для идей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Разработка онлайн-платформы, где студенты смогут делиться своими идеями, находить единомышленников и получать отзывы от экспертов.</w:t>
      </w:r>
      <w:r>
        <w:rPr>
          <w:bCs/>
          <w:i/>
        </w:rPr>
      </w:r>
      <w:r>
        <w:rPr>
          <w:bCs/>
          <w:i/>
        </w:rPr>
      </w:r>
    </w:p>
    <w:p>
      <w:pPr>
        <w:pStyle w:val="921"/>
        <w:ind w:left="0" w:firstLine="567"/>
        <w:jc w:val="both"/>
      </w:pPr>
      <w:r/>
      <w:r/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Работа с местными бизнесами и промышленными компаниями по вопросам поддержки стартапов.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Установление</w:t>
      </w: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 связей с местными компаниями, которые могут стать партнерами для студентов в реализации их стартапов или предложить финансирование.</w:t>
      </w:r>
      <w:r>
        <w:rPr>
          <w:bCs/>
          <w:i/>
        </w:rPr>
      </w:r>
      <w:r>
        <w:rPr>
          <w:bCs/>
          <w:i/>
        </w:rPr>
      </w:r>
    </w:p>
    <w:p>
      <w:pPr>
        <w:ind w:firstLine="567"/>
        <w:jc w:val="both"/>
        <w:spacing w:after="0" w:line="240" w:lineRule="auto"/>
      </w:pPr>
      <w:r/>
      <w:r/>
    </w:p>
    <w:p>
      <w:pPr>
        <w:pStyle w:val="921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  <w:t xml:space="preserve">Мониторинг и анализ опыта других регионов</w:t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Проведение анализа успешных заявок на гранты в других регионах и адаптация лучши</w:t>
      </w:r>
      <w:r>
        <w:rPr>
          <w:rFonts w:ascii="Times New Roman" w:hAnsi="Times New Roman" w:eastAsia="Times New Roman" w:cs="Times New Roman"/>
          <w:i/>
          <w:iCs/>
          <w:color w:val="0d0d0d" w:themeColor="text1" w:themeTint="F2"/>
          <w:sz w:val="24"/>
          <w:szCs w:val="24"/>
          <w:lang w:eastAsia="ru-RU"/>
          <w14:ligatures w14:val="none"/>
        </w:rPr>
        <w:t xml:space="preserve">х практик для Удмуртской Республики.</w:t>
      </w:r>
      <w:r>
        <w:rPr>
          <w:bCs/>
          <w:i/>
        </w:rPr>
      </w:r>
      <w:r>
        <w:rPr>
          <w:bCs/>
          <w:i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color w:val="0d0d0d" w:themeColor="text1" w:themeTint="F2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Cs/>
          <w:i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Cs/>
          <w:i/>
          <w:color w:val="0d0d0d" w:themeColor="text1" w:themeTint="F2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Cs/>
          <w:i/>
          <w:color w:val="0d0d0d" w:themeColor="text1" w:themeTint="F2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0d0d0d" w:themeColor="text1" w:themeTint="F2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4"/>
  </w:num>
  <w:num w:numId="5">
    <w:abstractNumId w:val="15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8"/>
  </w:num>
  <w:num w:numId="11">
    <w:abstractNumId w:val="16"/>
  </w:num>
  <w:num w:numId="12">
    <w:abstractNumId w:val="19"/>
  </w:num>
  <w:num w:numId="13">
    <w:abstractNumId w:val="4"/>
  </w:num>
  <w:num w:numId="14">
    <w:abstractNumId w:val="0"/>
  </w:num>
  <w:num w:numId="15">
    <w:abstractNumId w:val="12"/>
  </w:num>
  <w:num w:numId="16">
    <w:abstractNumId w:val="10"/>
  </w:num>
  <w:num w:numId="17">
    <w:abstractNumId w:val="9"/>
  </w:num>
  <w:num w:numId="18">
    <w:abstractNumId w:val="17"/>
  </w:num>
  <w:num w:numId="19">
    <w:abstractNumId w:val="3"/>
  </w:num>
  <w:num w:numId="20">
    <w:abstractNumId w:val="21"/>
  </w:num>
  <w:num w:numId="21">
    <w:abstractNumId w:val="1"/>
  </w:num>
  <w:num w:numId="22">
    <w:abstractNumId w:val="13"/>
  </w:num>
  <w:num w:numId="23">
    <w:abstractNumId w:val="6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21"/>
    <w:next w:val="721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1"/>
    <w:uiPriority w:val="10"/>
    <w:rPr>
      <w:sz w:val="48"/>
      <w:szCs w:val="48"/>
    </w:rPr>
  </w:style>
  <w:style w:type="character" w:styleId="744" w:customStyle="1">
    <w:name w:val="Subtitle Char"/>
    <w:basedOn w:val="73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Header Char"/>
    <w:basedOn w:val="731"/>
    <w:uiPriority w:val="99"/>
  </w:style>
  <w:style w:type="character" w:styleId="748" w:customStyle="1">
    <w:name w:val="Caption Char"/>
    <w:uiPriority w:val="99"/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Заголовок 1 Знак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basedOn w:val="731"/>
    <w:link w:val="723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after="0" w:line="240" w:lineRule="auto"/>
    </w:pPr>
  </w:style>
  <w:style w:type="paragraph" w:styleId="761">
    <w:name w:val="Title"/>
    <w:basedOn w:val="721"/>
    <w:next w:val="721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Название Знак"/>
    <w:basedOn w:val="731"/>
    <w:link w:val="761"/>
    <w:uiPriority w:val="10"/>
    <w:rPr>
      <w:sz w:val="48"/>
      <w:szCs w:val="48"/>
    </w:rPr>
  </w:style>
  <w:style w:type="paragraph" w:styleId="763">
    <w:name w:val="Subtitle"/>
    <w:basedOn w:val="721"/>
    <w:next w:val="721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basedOn w:val="731"/>
    <w:link w:val="763"/>
    <w:uiPriority w:val="11"/>
    <w:rPr>
      <w:sz w:val="24"/>
      <w:szCs w:val="24"/>
    </w:rPr>
  </w:style>
  <w:style w:type="paragraph" w:styleId="765">
    <w:name w:val="Quote"/>
    <w:basedOn w:val="721"/>
    <w:next w:val="721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21"/>
    <w:next w:val="721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21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 w:customStyle="1">
    <w:name w:val="Верхний колонтитул Знак"/>
    <w:basedOn w:val="731"/>
    <w:link w:val="769"/>
    <w:uiPriority w:val="99"/>
  </w:style>
  <w:style w:type="paragraph" w:styleId="771">
    <w:name w:val="Footer"/>
    <w:basedOn w:val="721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 w:customStyle="1">
    <w:name w:val="Footer Char"/>
    <w:basedOn w:val="731"/>
    <w:uiPriority w:val="99"/>
  </w:style>
  <w:style w:type="paragraph" w:styleId="773">
    <w:name w:val="Caption"/>
    <w:basedOn w:val="721"/>
    <w:next w:val="721"/>
    <w:link w:val="74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4" w:customStyle="1">
    <w:name w:val="Нижний колонтитул Знак"/>
    <w:link w:val="771"/>
    <w:uiPriority w:val="99"/>
  </w:style>
  <w:style w:type="table" w:styleId="775" w:customStyle="1">
    <w:name w:val="Table Grid Light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7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4" w:customStyle="1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6" w:customStyle="1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8" w:customStyle="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8" w:customStyle="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2" w:customStyle="1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3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7" w:customStyle="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8" w:customStyle="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9" w:customStyle="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0" w:customStyle="1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1" w:customStyle="1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2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1" w:customStyle="1">
    <w:name w:val="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5" w:customStyle="1">
    <w:name w:val="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 &amp; 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8" w:customStyle="1">
    <w:name w:val="Bordered &amp; 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9" w:customStyle="1">
    <w:name w:val="Bordered &amp; 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0" w:customStyle="1">
    <w:name w:val="Bordered &amp; 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1" w:customStyle="1">
    <w:name w:val="Bordered &amp; 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2" w:customStyle="1">
    <w:name w:val="Bordered &amp; 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5" w:customStyle="1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6" w:customStyle="1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7" w:customStyle="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8" w:customStyle="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9" w:customStyle="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0">
    <w:name w:val="footnote text"/>
    <w:basedOn w:val="721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31"/>
    <w:uiPriority w:val="99"/>
    <w:unhideWhenUsed/>
    <w:rPr>
      <w:vertAlign w:val="superscript"/>
    </w:rPr>
  </w:style>
  <w:style w:type="paragraph" w:styleId="903">
    <w:name w:val="endnote text"/>
    <w:basedOn w:val="721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31"/>
    <w:uiPriority w:val="99"/>
    <w:semiHidden/>
    <w:unhideWhenUsed/>
    <w:rPr>
      <w:vertAlign w:val="superscript"/>
    </w:rPr>
  </w:style>
  <w:style w:type="paragraph" w:styleId="906">
    <w:name w:val="toc 1"/>
    <w:basedOn w:val="721"/>
    <w:next w:val="721"/>
    <w:uiPriority w:val="39"/>
    <w:unhideWhenUsed/>
    <w:pPr>
      <w:spacing w:after="57"/>
    </w:pPr>
  </w:style>
  <w:style w:type="paragraph" w:styleId="907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08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09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10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11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12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13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14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21"/>
    <w:next w:val="721"/>
    <w:uiPriority w:val="99"/>
    <w:unhideWhenUsed/>
    <w:pPr>
      <w:spacing w:after="0"/>
    </w:pPr>
  </w:style>
  <w:style w:type="character" w:styleId="917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918" w:customStyle="1">
    <w:name w:val="Unresolved Mention"/>
    <w:basedOn w:val="731"/>
    <w:uiPriority w:val="99"/>
    <w:semiHidden/>
    <w:unhideWhenUsed/>
    <w:rPr>
      <w:color w:val="605e5c"/>
      <w:shd w:val="clear" w:color="auto" w:fill="e1dfdd"/>
    </w:rPr>
  </w:style>
  <w:style w:type="character" w:styleId="919">
    <w:name w:val="Strong"/>
    <w:basedOn w:val="731"/>
    <w:uiPriority w:val="22"/>
    <w:qFormat/>
    <w:rPr>
      <w:b/>
      <w:bCs/>
    </w:rPr>
  </w:style>
  <w:style w:type="paragraph" w:styleId="920">
    <w:name w:val="Normal (Web)"/>
    <w:basedOn w:val="7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List Paragraph"/>
    <w:basedOn w:val="721"/>
    <w:uiPriority w:val="34"/>
    <w:qFormat/>
    <w:pPr>
      <w:contextualSpacing/>
      <w:ind w:left="720"/>
    </w:pPr>
  </w:style>
  <w:style w:type="table" w:styleId="922">
    <w:name w:val="Table Grid"/>
    <w:basedOn w:val="7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kochurova_is</cp:lastModifiedBy>
  <cp:revision>14</cp:revision>
  <dcterms:created xsi:type="dcterms:W3CDTF">2024-10-29T12:02:00Z</dcterms:created>
  <dcterms:modified xsi:type="dcterms:W3CDTF">2025-06-02T12:14:39Z</dcterms:modified>
</cp:coreProperties>
</file>